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eastAsia="宋体" w:cs="宋体"/>
          <w:b/>
          <w:bCs/>
          <w:sz w:val="44"/>
          <w:szCs w:val="44"/>
          <w:lang w:eastAsia="zh-CN"/>
        </w:rPr>
      </w:pPr>
      <w:r>
        <w:rPr>
          <w:rFonts w:hint="eastAsia" w:ascii="宋体" w:hAnsi="宋体" w:cs="宋体"/>
          <w:b/>
          <w:bCs/>
          <w:sz w:val="44"/>
          <w:szCs w:val="44"/>
          <w:lang w:eastAsia="zh-CN"/>
        </w:rPr>
        <w:t>市区至机场高速公路惠民免费通行</w:t>
      </w:r>
      <w:r>
        <w:rPr>
          <w:rFonts w:hint="eastAsia" w:ascii="宋体" w:hAnsi="宋体" w:cs="宋体"/>
          <w:b/>
          <w:bCs/>
          <w:sz w:val="44"/>
          <w:szCs w:val="44"/>
        </w:rPr>
        <w:t>项</w:t>
      </w:r>
      <w:r>
        <w:rPr>
          <w:rFonts w:hint="eastAsia" w:ascii="宋体" w:hAnsi="宋体" w:cs="宋体"/>
          <w:b/>
          <w:bCs/>
          <w:sz w:val="44"/>
          <w:szCs w:val="44"/>
          <w:lang w:eastAsia="zh-CN"/>
        </w:rPr>
        <w:t>目</w:t>
      </w:r>
    </w:p>
    <w:p>
      <w:pPr>
        <w:spacing w:line="560" w:lineRule="exact"/>
        <w:jc w:val="center"/>
        <w:rPr>
          <w:rFonts w:ascii="宋体" w:hAnsi="宋体" w:cs="宋体"/>
          <w:sz w:val="32"/>
          <w:szCs w:val="32"/>
        </w:rPr>
      </w:pPr>
      <w:r>
        <w:rPr>
          <w:rFonts w:hint="eastAsia" w:ascii="宋体" w:hAnsi="宋体" w:cs="宋体"/>
          <w:b/>
          <w:bCs/>
          <w:sz w:val="44"/>
          <w:szCs w:val="44"/>
        </w:rPr>
        <w:t>自评报告</w:t>
      </w:r>
    </w:p>
    <w:p>
      <w:pPr>
        <w:spacing w:line="560" w:lineRule="exact"/>
        <w:jc w:val="center"/>
        <w:rPr>
          <w:rFonts w:ascii="华文楷体" w:eastAsia="华文楷体"/>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石家庄市市级部门项目绩效自评管理办法》（石财绩〔2020〕5号），遵循全面覆盖、程序简便、客观公正、公开透明的原则，对市区至机场高速公路惠民免费通行项目实施了财政绩效自评价，形成本评价报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bCs/>
          <w:sz w:val="32"/>
          <w:szCs w:val="36"/>
        </w:rPr>
      </w:pPr>
      <w:r>
        <w:rPr>
          <w:rFonts w:hint="eastAsia" w:ascii="黑体" w:hAnsi="黑体" w:eastAsia="黑体" w:cs="黑体"/>
          <w:sz w:val="32"/>
          <w:szCs w:val="32"/>
        </w:rPr>
        <w:t>一、项目</w:t>
      </w:r>
      <w:r>
        <w:rPr>
          <w:rFonts w:hint="eastAsia" w:ascii="黑体" w:hAnsi="黑体" w:eastAsia="黑体" w:cs="黑体"/>
          <w:sz w:val="32"/>
          <w:szCs w:val="36"/>
        </w:rPr>
        <w:t>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800" w:firstLineChars="2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项目实施单位及项目立项等基本情况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800" w:firstLineChars="25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市区至机场高速公路惠民免费通行项目实施单位是石家庄市</w:t>
      </w:r>
      <w:r>
        <w:rPr>
          <w:rFonts w:hint="default" w:ascii="Times New Roman" w:hAnsi="Times New Roman" w:eastAsia="仿宋_GB2312" w:cs="Times New Roman"/>
          <w:sz w:val="32"/>
          <w:szCs w:val="32"/>
          <w:lang w:eastAsia="zh-CN"/>
        </w:rPr>
        <w:t>交通运输局。</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为进一步支持机场建设发展、优化营商环境、降低物流成本、提高通行效率、便民利民出行。市政府决定对石家庄市区至机场有关高速公路通过政府购买服务的方式，实施“由车主缴费变为政府统缴”（相当于政府代缴车主的通行费）便民通行政策。</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800" w:firstLineChars="2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项目主要实施内容和范围；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对使用ETC计费、点对点通行市区至机场有关高速的冀A牌照车辆实行惠民免费，通行费由“由车主缴费变为政府统缴”（相当于车主缴费0元）。此次惠民免费涉及新元高速石家庄北站至机场站段和北绕城高速正定站至拐角铺互通段两条路段，分别属中电建冀交高速公路投资发展有限公司和石家庄市交通投资开发有限公司管辖。</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800" w:firstLineChars="2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项目资金投入情况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市区至机场高速公路惠民免费通行</w:t>
      </w:r>
      <w:r>
        <w:rPr>
          <w:rFonts w:hint="default"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rPr>
        <w:t>预算指标</w:t>
      </w:r>
      <w:r>
        <w:rPr>
          <w:rFonts w:hint="default" w:ascii="Times New Roman" w:hAnsi="Times New Roman" w:eastAsia="仿宋_GB2312" w:cs="Times New Roman"/>
          <w:sz w:val="32"/>
          <w:szCs w:val="32"/>
          <w:lang w:val="en-US" w:eastAsia="zh-CN"/>
        </w:rPr>
        <w:t>2300</w:t>
      </w:r>
      <w:r>
        <w:rPr>
          <w:rFonts w:hint="default" w:ascii="Times New Roman" w:hAnsi="Times New Roman" w:eastAsia="仿宋_GB2312" w:cs="Times New Roman"/>
          <w:sz w:val="32"/>
          <w:szCs w:val="32"/>
        </w:rPr>
        <w:t>万元，实际收到和支出财政资金</w:t>
      </w:r>
      <w:r>
        <w:rPr>
          <w:rFonts w:hint="default" w:ascii="Times New Roman" w:hAnsi="Times New Roman" w:eastAsia="仿宋_GB2312" w:cs="Times New Roman"/>
          <w:sz w:val="32"/>
          <w:szCs w:val="32"/>
          <w:lang w:val="en-US" w:eastAsia="zh-CN"/>
        </w:rPr>
        <w:t>2300</w:t>
      </w:r>
      <w:r>
        <w:rPr>
          <w:rFonts w:hint="default" w:ascii="Times New Roman" w:hAnsi="Times New Roman" w:eastAsia="仿宋_GB2312" w:cs="Times New Roman"/>
          <w:sz w:val="32"/>
          <w:szCs w:val="32"/>
        </w:rPr>
        <w:t>万元，全部用于</w:t>
      </w:r>
      <w:r>
        <w:rPr>
          <w:rFonts w:hint="default" w:ascii="Times New Roman" w:hAnsi="Times New Roman" w:eastAsia="仿宋_GB2312" w:cs="Times New Roman"/>
          <w:sz w:val="32"/>
          <w:szCs w:val="32"/>
          <w:lang w:eastAsia="zh-CN"/>
        </w:rPr>
        <w:t>支付有关高速业主单位政府代缴通行费。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（二）项目预期绩效目标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项目预期绩效目标</w:t>
      </w:r>
      <w:r>
        <w:rPr>
          <w:rFonts w:hint="default" w:ascii="Times New Roman" w:hAnsi="Times New Roman" w:eastAsia="仿宋_GB2312" w:cs="Times New Roman"/>
          <w:sz w:val="32"/>
          <w:szCs w:val="32"/>
          <w:lang w:eastAsia="zh-CN"/>
        </w:rPr>
        <w:t>为通过开展市区至机场惠民免费工作，提升人民群众满意度和获得感</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2024年</w:t>
      </w:r>
      <w:r>
        <w:rPr>
          <w:rFonts w:hint="default"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rPr>
        <w:t>预算指标</w:t>
      </w:r>
      <w:r>
        <w:rPr>
          <w:rFonts w:hint="default" w:ascii="Times New Roman" w:hAnsi="Times New Roman" w:eastAsia="仿宋_GB2312" w:cs="Times New Roman"/>
          <w:sz w:val="32"/>
          <w:szCs w:val="32"/>
          <w:lang w:val="en-US" w:eastAsia="zh-CN"/>
        </w:rPr>
        <w:t>2300</w:t>
      </w:r>
      <w:r>
        <w:rPr>
          <w:rFonts w:hint="default" w:ascii="Times New Roman" w:hAnsi="Times New Roman" w:eastAsia="仿宋_GB2312" w:cs="Times New Roman"/>
          <w:sz w:val="32"/>
          <w:szCs w:val="32"/>
        </w:rPr>
        <w:t>万元，全部用于</w:t>
      </w:r>
      <w:r>
        <w:rPr>
          <w:rFonts w:hint="default" w:ascii="Times New Roman" w:hAnsi="Times New Roman" w:eastAsia="仿宋_GB2312" w:cs="Times New Roman"/>
          <w:sz w:val="32"/>
          <w:szCs w:val="32"/>
          <w:lang w:eastAsia="zh-CN"/>
        </w:rPr>
        <w:t>支付有关高速业主单位政府代缴通行费，惠民免费政策平稳实施。</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二、自评工作情况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196"/>
        <w:textAlignment w:val="auto"/>
        <w:rPr>
          <w:rFonts w:hint="eastAsia" w:ascii="楷体" w:hAnsi="楷体" w:eastAsia="楷体" w:cs="楷体"/>
          <w:sz w:val="32"/>
          <w:szCs w:val="32"/>
        </w:rPr>
      </w:pPr>
      <w:r>
        <w:rPr>
          <w:rFonts w:hint="eastAsia" w:ascii="楷体" w:hAnsi="楷体" w:eastAsia="楷体" w:cs="楷体"/>
          <w:bCs/>
          <w:sz w:val="32"/>
          <w:szCs w:val="32"/>
        </w:rPr>
        <w:t>（一）自评的组织工作</w:t>
      </w:r>
    </w:p>
    <w:p>
      <w:pPr>
        <w:keepNext w:val="0"/>
        <w:keepLines w:val="0"/>
        <w:pageBreakBefore w:val="0"/>
        <w:widowControl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t>为做好绩效自评工作，对2024年度财政资金进行了全面梳理，对照年初确定的绩效目标、指标和评价标准，结合市区至机场高速公路惠民免费通行项目完成情况进行了绩效自评，并汇总形成绩效自评报告。</w:t>
      </w:r>
    </w:p>
    <w:p>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自评的方法和过程</w:t>
      </w:r>
    </w:p>
    <w:p>
      <w:pPr>
        <w:keepNext w:val="0"/>
        <w:keepLines w:val="0"/>
        <w:pageBreakBefore w:val="0"/>
        <w:widowControl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对照年初设定的绩效目标</w:t>
      </w:r>
      <w:r>
        <w:rPr>
          <w:rFonts w:hint="default" w:ascii="Times New Roman" w:hAnsi="Times New Roman" w:eastAsia="仿宋_GB2312" w:cs="Times New Roman"/>
          <w:sz w:val="32"/>
          <w:szCs w:val="32"/>
          <w:highlight w:val="none"/>
        </w:rPr>
        <w:t>、指标和评价标准，</w:t>
      </w:r>
      <w:r>
        <w:rPr>
          <w:rFonts w:hint="default" w:ascii="Times New Roman" w:hAnsi="Times New Roman" w:eastAsia="仿宋_GB2312" w:cs="Times New Roman"/>
          <w:sz w:val="32"/>
          <w:szCs w:val="32"/>
          <w:highlight w:val="none"/>
          <w:lang w:eastAsia="zh-CN"/>
        </w:rPr>
        <w:t>逐项核对了完成情况。包括保障免费通行路段公里数、资金按时支付、保障免费通行月份、项目资金总额、服务对象满意度等情况，形成了《市区至机场高速公路惠民免费通行项目自评报告》。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bCs/>
          <w:sz w:val="32"/>
          <w:szCs w:val="32"/>
        </w:rPr>
      </w:pPr>
      <w:r>
        <w:rPr>
          <w:rFonts w:hint="eastAsia" w:ascii="楷体" w:hAnsi="楷体" w:eastAsia="楷体" w:cs="楷体"/>
          <w:bCs/>
          <w:sz w:val="32"/>
          <w:szCs w:val="32"/>
        </w:rPr>
        <w:t>（三）建立绩效评价指标体系</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本项目</w:t>
      </w:r>
      <w:r>
        <w:rPr>
          <w:rFonts w:hint="default" w:ascii="Times New Roman" w:hAnsi="Times New Roman" w:eastAsia="仿宋_GB2312" w:cs="Times New Roman"/>
          <w:sz w:val="32"/>
          <w:szCs w:val="32"/>
        </w:rPr>
        <w:t>总分设定为100分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一级指标权重统一设置为：产出指标40分（包含数量、质量、时效、成本）、预算执行率指标10分、效益指标40分（</w:t>
      </w:r>
      <w:r>
        <w:rPr>
          <w:rFonts w:hint="default" w:ascii="Times New Roman" w:hAnsi="Times New Roman" w:eastAsia="仿宋_GB2312" w:cs="Times New Roman"/>
          <w:sz w:val="32"/>
          <w:szCs w:val="32"/>
          <w:lang w:eastAsia="zh-CN"/>
        </w:rPr>
        <w:t>本项目为</w:t>
      </w:r>
      <w:r>
        <w:rPr>
          <w:rFonts w:hint="default" w:ascii="Times New Roman" w:hAnsi="Times New Roman" w:eastAsia="仿宋_GB2312" w:cs="Times New Roman"/>
          <w:sz w:val="32"/>
          <w:szCs w:val="32"/>
        </w:rPr>
        <w:t>社会效益</w:t>
      </w:r>
      <w:r>
        <w:rPr>
          <w:rFonts w:hint="default" w:ascii="Times New Roman" w:hAnsi="Times New Roman" w:eastAsia="仿宋_GB2312" w:cs="Times New Roman"/>
          <w:sz w:val="32"/>
          <w:szCs w:val="32"/>
          <w:lang w:eastAsia="zh-CN"/>
        </w:rPr>
        <w:t>指标</w:t>
      </w:r>
      <w:r>
        <w:rPr>
          <w:rFonts w:hint="default" w:ascii="Times New Roman" w:hAnsi="Times New Roman" w:eastAsia="仿宋_GB2312" w:cs="Times New Roman"/>
          <w:sz w:val="32"/>
          <w:szCs w:val="32"/>
        </w:rPr>
        <w:t>）、满意度指标10分。</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二、三级指标所占权重应当根据指标重要程度、项目实施阶段等因素综合确定，准确反映预算项目的产出和效果。</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b/>
          <w:bCs/>
          <w:sz w:val="32"/>
          <w:szCs w:val="32"/>
        </w:rPr>
      </w:pPr>
      <w:r>
        <w:rPr>
          <w:rFonts w:hint="eastAsia" w:ascii="黑体" w:hAnsi="黑体" w:eastAsia="黑体" w:cs="黑体"/>
          <w:sz w:val="32"/>
          <w:szCs w:val="32"/>
        </w:rPr>
        <w:t>三、项目执行及绩效实现情况</w:t>
      </w:r>
    </w:p>
    <w:p>
      <w:pPr>
        <w:keepNext w:val="0"/>
        <w:keepLines w:val="0"/>
        <w:pageBreakBefore w:val="0"/>
        <w:widowControl w:val="0"/>
        <w:numPr>
          <w:ilvl w:val="0"/>
          <w:numId w:val="3"/>
        </w:numPr>
        <w:kinsoku/>
        <w:wordWrap/>
        <w:overflowPunct/>
        <w:topLinePunct w:val="0"/>
        <w:autoSpaceDE/>
        <w:autoSpaceDN/>
        <w:bidi w:val="0"/>
        <w:spacing w:line="560"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预算执行情况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本项目年初预算安排</w:t>
      </w:r>
      <w:r>
        <w:rPr>
          <w:rFonts w:hint="default" w:ascii="Times New Roman" w:hAnsi="Times New Roman" w:eastAsia="仿宋_GB2312" w:cs="Times New Roman"/>
          <w:sz w:val="32"/>
          <w:szCs w:val="32"/>
          <w:lang w:val="en-US" w:eastAsia="zh-CN"/>
        </w:rPr>
        <w:t>2300</w:t>
      </w:r>
      <w:r>
        <w:rPr>
          <w:rFonts w:hint="default" w:ascii="Times New Roman" w:hAnsi="Times New Roman" w:eastAsia="仿宋_GB2312" w:cs="Times New Roman"/>
          <w:sz w:val="32"/>
          <w:szCs w:val="32"/>
        </w:rPr>
        <w:t>万元，全部用于</w:t>
      </w:r>
      <w:r>
        <w:rPr>
          <w:rFonts w:hint="default" w:ascii="Times New Roman" w:hAnsi="Times New Roman" w:eastAsia="仿宋_GB2312" w:cs="Times New Roman"/>
          <w:sz w:val="32"/>
          <w:szCs w:val="32"/>
          <w:lang w:eastAsia="zh-CN"/>
        </w:rPr>
        <w:t>支付有关高速业主单位政府代缴通行费，该项绩效评价指标得分为</w:t>
      </w:r>
      <w:r>
        <w:rPr>
          <w:rFonts w:hint="default" w:ascii="Times New Roman" w:hAnsi="Times New Roman" w:eastAsia="仿宋_GB2312" w:cs="Times New Roman"/>
          <w:sz w:val="32"/>
          <w:szCs w:val="32"/>
          <w:lang w:val="en-US" w:eastAsia="zh-CN"/>
        </w:rPr>
        <w:t>10分。</w:t>
      </w:r>
    </w:p>
    <w:p>
      <w:pPr>
        <w:keepNext w:val="0"/>
        <w:keepLines w:val="0"/>
        <w:pageBreakBefore w:val="0"/>
        <w:widowControl w:val="0"/>
        <w:kinsoku/>
        <w:wordWrap/>
        <w:overflowPunct/>
        <w:topLinePunct w:val="0"/>
        <w:autoSpaceDE/>
        <w:autoSpaceDN/>
        <w:bidi w:val="0"/>
        <w:spacing w:line="560" w:lineRule="exact"/>
        <w:textAlignment w:val="auto"/>
        <w:rPr>
          <w:rFonts w:hint="eastAsia" w:ascii="楷体" w:hAnsi="楷体" w:eastAsia="楷体" w:cs="楷体"/>
          <w:bCs/>
          <w:sz w:val="32"/>
          <w:szCs w:val="32"/>
        </w:rPr>
      </w:pPr>
      <w:r>
        <w:rPr>
          <w:rFonts w:hint="eastAsia" w:ascii="楷体" w:hAnsi="楷体" w:eastAsia="楷体" w:cs="楷体"/>
          <w:b/>
          <w:bCs/>
          <w:sz w:val="32"/>
          <w:szCs w:val="32"/>
        </w:rPr>
        <w:t xml:space="preserve">    </w:t>
      </w:r>
      <w:r>
        <w:rPr>
          <w:rFonts w:hint="eastAsia" w:ascii="楷体" w:hAnsi="楷体" w:eastAsia="楷体" w:cs="楷体"/>
          <w:bCs/>
          <w:sz w:val="32"/>
          <w:szCs w:val="32"/>
        </w:rPr>
        <w:t>（二）项目产出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数量</w:t>
      </w:r>
      <w:r>
        <w:rPr>
          <w:rFonts w:hint="default" w:ascii="Times New Roman" w:hAnsi="Times New Roman" w:eastAsia="仿宋_GB2312" w:cs="Times New Roman"/>
          <w:sz w:val="32"/>
          <w:szCs w:val="32"/>
          <w:lang w:eastAsia="zh-CN"/>
        </w:rPr>
        <w:t>指标：绩效目标为保障免费通行路段为</w:t>
      </w:r>
      <w:r>
        <w:rPr>
          <w:rFonts w:hint="default" w:ascii="Times New Roman" w:hAnsi="Times New Roman" w:eastAsia="仿宋_GB2312" w:cs="Times New Roman"/>
          <w:sz w:val="32"/>
          <w:szCs w:val="32"/>
          <w:lang w:val="en-US" w:eastAsia="zh-CN"/>
        </w:rPr>
        <w:t>21.48公里。本年度保障免费通行路段为21.48公里，包含新元高速公路拐角铺互通至河北机场站段8.391公里、北绕城高速公路河北正定站至拐角铺互通段13.089公里，分别属中电建冀交高速公路投资发展有限公司和石家庄市交通投资开发有限公司管辖，符合绩效目标，</w:t>
      </w:r>
      <w:r>
        <w:rPr>
          <w:rFonts w:hint="default" w:ascii="Times New Roman" w:hAnsi="Times New Roman" w:eastAsia="仿宋_GB2312" w:cs="Times New Roman"/>
          <w:sz w:val="32"/>
          <w:szCs w:val="32"/>
          <w:lang w:eastAsia="zh-CN"/>
        </w:rPr>
        <w:t>该项绩效评价指标得分为</w:t>
      </w:r>
      <w:r>
        <w:rPr>
          <w:rFonts w:hint="default" w:ascii="Times New Roman" w:hAnsi="Times New Roman" w:eastAsia="仿宋_GB2312" w:cs="Times New Roman"/>
          <w:sz w:val="32"/>
          <w:szCs w:val="32"/>
          <w:lang w:val="en-US" w:eastAsia="zh-CN"/>
        </w:rPr>
        <w:t>10分。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质量</w:t>
      </w:r>
      <w:r>
        <w:rPr>
          <w:rFonts w:hint="default" w:ascii="Times New Roman" w:hAnsi="Times New Roman" w:eastAsia="仿宋_GB2312" w:cs="Times New Roman"/>
          <w:sz w:val="32"/>
          <w:szCs w:val="32"/>
          <w:lang w:eastAsia="zh-CN"/>
        </w:rPr>
        <w:t>指标：绩效目标为资金按时支付率≥90%。已按照合作协议规定时限，分两次将</w:t>
      </w:r>
      <w:r>
        <w:rPr>
          <w:rFonts w:hint="default" w:ascii="Times New Roman" w:hAnsi="Times New Roman" w:eastAsia="仿宋_GB2312" w:cs="Times New Roman"/>
          <w:sz w:val="32"/>
          <w:szCs w:val="32"/>
          <w:lang w:val="en-US" w:eastAsia="zh-CN"/>
        </w:rPr>
        <w:t>2300万元全部支付给高速业主单位，支付率为100%，</w:t>
      </w:r>
      <w:r>
        <w:rPr>
          <w:rFonts w:hint="default" w:ascii="Times New Roman" w:hAnsi="Times New Roman" w:eastAsia="仿宋_GB2312" w:cs="Times New Roman"/>
          <w:sz w:val="32"/>
          <w:szCs w:val="32"/>
          <w:lang w:eastAsia="zh-CN"/>
        </w:rPr>
        <w:t>该项绩效评价指标得分为</w:t>
      </w:r>
      <w:r>
        <w:rPr>
          <w:rFonts w:hint="default" w:ascii="Times New Roman" w:hAnsi="Times New Roman" w:eastAsia="仿宋_GB2312" w:cs="Times New Roman"/>
          <w:sz w:val="32"/>
          <w:szCs w:val="32"/>
          <w:lang w:val="en-US" w:eastAsia="zh-CN"/>
        </w:rPr>
        <w:t>10分。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实效</w:t>
      </w:r>
      <w:r>
        <w:rPr>
          <w:rFonts w:hint="default" w:ascii="Times New Roman" w:hAnsi="Times New Roman" w:eastAsia="仿宋_GB2312" w:cs="Times New Roman"/>
          <w:sz w:val="32"/>
          <w:szCs w:val="32"/>
          <w:lang w:eastAsia="zh-CN"/>
        </w:rPr>
        <w:t>指标：绩效目标为保障免费通行月份</w:t>
      </w:r>
      <w:r>
        <w:rPr>
          <w:rFonts w:hint="default" w:ascii="Times New Roman" w:hAnsi="Times New Roman" w:eastAsia="仿宋_GB2312" w:cs="Times New Roman"/>
          <w:sz w:val="32"/>
          <w:szCs w:val="32"/>
          <w:lang w:val="en-US" w:eastAsia="zh-CN"/>
        </w:rPr>
        <w:t>15个月。实际保障免费通行月份是2024年7月至2025年9月，共计15个月，符合绩效目标，</w:t>
      </w:r>
      <w:r>
        <w:rPr>
          <w:rFonts w:hint="default" w:ascii="Times New Roman" w:hAnsi="Times New Roman" w:eastAsia="仿宋_GB2312" w:cs="Times New Roman"/>
          <w:sz w:val="32"/>
          <w:szCs w:val="32"/>
          <w:lang w:eastAsia="zh-CN"/>
        </w:rPr>
        <w:t>该项绩效评价指标得分为</w:t>
      </w:r>
      <w:r>
        <w:rPr>
          <w:rFonts w:hint="default" w:ascii="Times New Roman" w:hAnsi="Times New Roman" w:eastAsia="仿宋_GB2312" w:cs="Times New Roman"/>
          <w:sz w:val="32"/>
          <w:szCs w:val="32"/>
          <w:lang w:val="en-US" w:eastAsia="zh-CN"/>
        </w:rPr>
        <w:t>10分。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成本</w:t>
      </w:r>
      <w:r>
        <w:rPr>
          <w:rFonts w:hint="default" w:ascii="Times New Roman" w:hAnsi="Times New Roman" w:eastAsia="仿宋_GB2312" w:cs="Times New Roman"/>
          <w:sz w:val="32"/>
          <w:szCs w:val="32"/>
          <w:lang w:eastAsia="zh-CN"/>
        </w:rPr>
        <w:t>指标：绩效目标为项目资金总额≤</w:t>
      </w:r>
      <w:r>
        <w:rPr>
          <w:rFonts w:hint="default" w:ascii="Times New Roman" w:hAnsi="Times New Roman" w:eastAsia="仿宋_GB2312" w:cs="Times New Roman"/>
          <w:sz w:val="32"/>
          <w:szCs w:val="32"/>
          <w:lang w:val="en-US" w:eastAsia="zh-CN"/>
        </w:rPr>
        <w:t>2300万元，实际支付金额为2300万元，符合绩效目标，</w:t>
      </w:r>
      <w:r>
        <w:rPr>
          <w:rFonts w:hint="default" w:ascii="Times New Roman" w:hAnsi="Times New Roman" w:eastAsia="仿宋_GB2312" w:cs="Times New Roman"/>
          <w:sz w:val="32"/>
          <w:szCs w:val="32"/>
          <w:lang w:eastAsia="zh-CN"/>
        </w:rPr>
        <w:t>该项绩效评价指标得分为</w:t>
      </w:r>
      <w:r>
        <w:rPr>
          <w:rFonts w:hint="default" w:ascii="Times New Roman" w:hAnsi="Times New Roman" w:eastAsia="仿宋_GB2312" w:cs="Times New Roman"/>
          <w:sz w:val="32"/>
          <w:szCs w:val="32"/>
          <w:lang w:val="en-US" w:eastAsia="zh-CN"/>
        </w:rPr>
        <w:t>10分。</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（三）项目效益</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绩效目标为实现惠民免费功能，减轻社会负担，促进社会发展。政策的实施</w:t>
      </w:r>
      <w:r>
        <w:rPr>
          <w:rFonts w:hint="default" w:ascii="Times New Roman" w:hAnsi="Times New Roman" w:eastAsia="仿宋_GB2312" w:cs="Times New Roman"/>
          <w:sz w:val="32"/>
          <w:szCs w:val="32"/>
        </w:rPr>
        <w:t>进一步支持</w:t>
      </w:r>
      <w:r>
        <w:rPr>
          <w:rFonts w:hint="default" w:ascii="Times New Roman" w:hAnsi="Times New Roman" w:eastAsia="仿宋_GB2312" w:cs="Times New Roman"/>
          <w:sz w:val="32"/>
          <w:szCs w:val="32"/>
          <w:lang w:eastAsia="zh-CN"/>
        </w:rPr>
        <w:t>了</w:t>
      </w:r>
      <w:r>
        <w:rPr>
          <w:rFonts w:hint="default" w:ascii="Times New Roman" w:hAnsi="Times New Roman" w:eastAsia="仿宋_GB2312" w:cs="Times New Roman"/>
          <w:sz w:val="32"/>
          <w:szCs w:val="32"/>
        </w:rPr>
        <w:t>机场建设发展、优化</w:t>
      </w:r>
      <w:r>
        <w:rPr>
          <w:rFonts w:hint="default" w:ascii="Times New Roman" w:hAnsi="Times New Roman" w:eastAsia="仿宋_GB2312" w:cs="Times New Roman"/>
          <w:sz w:val="32"/>
          <w:szCs w:val="32"/>
          <w:lang w:eastAsia="zh-CN"/>
        </w:rPr>
        <w:t>了</w:t>
      </w:r>
      <w:r>
        <w:rPr>
          <w:rFonts w:hint="default" w:ascii="Times New Roman" w:hAnsi="Times New Roman" w:eastAsia="仿宋_GB2312" w:cs="Times New Roman"/>
          <w:sz w:val="32"/>
          <w:szCs w:val="32"/>
        </w:rPr>
        <w:t>营商环境、降低</w:t>
      </w:r>
      <w:r>
        <w:rPr>
          <w:rFonts w:hint="default" w:ascii="Times New Roman" w:hAnsi="Times New Roman" w:eastAsia="仿宋_GB2312" w:cs="Times New Roman"/>
          <w:sz w:val="32"/>
          <w:szCs w:val="32"/>
          <w:lang w:eastAsia="zh-CN"/>
        </w:rPr>
        <w:t>了</w:t>
      </w:r>
      <w:r>
        <w:rPr>
          <w:rFonts w:hint="default" w:ascii="Times New Roman" w:hAnsi="Times New Roman" w:eastAsia="仿宋_GB2312" w:cs="Times New Roman"/>
          <w:sz w:val="32"/>
          <w:szCs w:val="32"/>
        </w:rPr>
        <w:t>物流成本、提高</w:t>
      </w:r>
      <w:r>
        <w:rPr>
          <w:rFonts w:hint="default" w:ascii="Times New Roman" w:hAnsi="Times New Roman" w:eastAsia="仿宋_GB2312" w:cs="Times New Roman"/>
          <w:sz w:val="32"/>
          <w:szCs w:val="32"/>
          <w:lang w:eastAsia="zh-CN"/>
        </w:rPr>
        <w:t>了</w:t>
      </w:r>
      <w:r>
        <w:rPr>
          <w:rFonts w:hint="default" w:ascii="Times New Roman" w:hAnsi="Times New Roman" w:eastAsia="仿宋_GB2312" w:cs="Times New Roman"/>
          <w:sz w:val="32"/>
          <w:szCs w:val="32"/>
        </w:rPr>
        <w:t>通行效率、便利</w:t>
      </w:r>
      <w:r>
        <w:rPr>
          <w:rFonts w:hint="default" w:ascii="Times New Roman" w:hAnsi="Times New Roman" w:eastAsia="仿宋_GB2312" w:cs="Times New Roman"/>
          <w:sz w:val="32"/>
          <w:szCs w:val="32"/>
          <w:lang w:eastAsia="zh-CN"/>
        </w:rPr>
        <w:t>了市</w:t>
      </w:r>
      <w:r>
        <w:rPr>
          <w:rFonts w:hint="default" w:ascii="Times New Roman" w:hAnsi="Times New Roman" w:eastAsia="仿宋_GB2312" w:cs="Times New Roman"/>
          <w:sz w:val="32"/>
          <w:szCs w:val="32"/>
        </w:rPr>
        <w:t>民出行</w:t>
      </w:r>
      <w:r>
        <w:rPr>
          <w:rFonts w:hint="default" w:ascii="Times New Roman" w:hAnsi="Times New Roman" w:eastAsia="仿宋_GB2312" w:cs="Times New Roman"/>
          <w:sz w:val="32"/>
          <w:szCs w:val="32"/>
          <w:lang w:eastAsia="zh-CN"/>
        </w:rPr>
        <w:t>，具有良好的社会效益，该项绩效评价指标得分为</w:t>
      </w:r>
      <w:r>
        <w:rPr>
          <w:rFonts w:hint="default" w:ascii="Times New Roman" w:hAnsi="Times New Roman" w:eastAsia="仿宋_GB2312" w:cs="Times New Roman"/>
          <w:sz w:val="32"/>
          <w:szCs w:val="32"/>
          <w:lang w:val="en-US" w:eastAsia="zh-CN"/>
        </w:rPr>
        <w:t>10分。</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开展了满意度调查。服务对象满意度为9</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符合绩效目标，</w:t>
      </w:r>
      <w:r>
        <w:rPr>
          <w:rFonts w:hint="default" w:ascii="Times New Roman" w:hAnsi="Times New Roman" w:eastAsia="仿宋_GB2312" w:cs="Times New Roman"/>
          <w:sz w:val="32"/>
          <w:szCs w:val="32"/>
          <w:lang w:eastAsia="zh-CN"/>
        </w:rPr>
        <w:t>该项绩效评价指标得分为</w:t>
      </w:r>
      <w:r>
        <w:rPr>
          <w:rFonts w:hint="default" w:ascii="Times New Roman" w:hAnsi="Times New Roman" w:eastAsia="仿宋_GB2312" w:cs="Times New Roman"/>
          <w:sz w:val="32"/>
          <w:szCs w:val="32"/>
          <w:lang w:val="en-US" w:eastAsia="zh-CN"/>
        </w:rPr>
        <w:t>10分。</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四、项目综合评价结论和评价等级</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根据项目执行情况和项目绩效情况，总得分</w:t>
      </w:r>
      <w:r>
        <w:rPr>
          <w:rFonts w:hint="default"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，综合绩效评价</w:t>
      </w:r>
      <w:r>
        <w:rPr>
          <w:rFonts w:hint="default" w:ascii="Times New Roman" w:hAnsi="Times New Roman" w:eastAsia="仿宋_GB2312" w:cs="Times New Roman"/>
          <w:sz w:val="32"/>
          <w:szCs w:val="32"/>
          <w:lang w:eastAsia="zh-CN"/>
        </w:rPr>
        <w:t>为优秀。按时向省交投、市交投预付了下一年度预缴费用，确保便民通行政策平稳实施。</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rPr>
      </w:pPr>
      <w:bookmarkStart w:id="0" w:name="_GoBack"/>
      <w:r>
        <w:rPr>
          <w:rFonts w:hint="eastAsia" w:ascii="黑体" w:hAnsi="黑体" w:eastAsia="黑体" w:cs="黑体"/>
          <w:sz w:val="32"/>
          <w:szCs w:val="32"/>
        </w:rPr>
        <w:t>五、存在的问题及改进措施</w:t>
      </w:r>
    </w:p>
    <w:bookmarkEnd w:id="0"/>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lang w:val="en-US" w:eastAsia="zh-CN"/>
        </w:rPr>
        <w:t>对政策实施后的跟踪力度还不够，没有实时关注车流量、通行费等数据，导致预测下一年度通行费时不够准确。下一步将会及时掌握最新数据，认真分析，争取增加预测准确度。</w:t>
      </w:r>
    </w:p>
    <w:p>
      <w:pPr>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eastAsia="仿宋_GB2312" w:cs="Times New Roman"/>
        </w:rPr>
      </w:pPr>
    </w:p>
    <w:sectPr>
      <w:footerReference r:id="rId3" w:type="default"/>
      <w:pgSz w:w="11906" w:h="16838"/>
      <w:pgMar w:top="2098" w:right="1474" w:bottom="1984"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68489B"/>
    <w:multiLevelType w:val="singleLevel"/>
    <w:tmpl w:val="5E68489B"/>
    <w:lvl w:ilvl="0" w:tentative="0">
      <w:start w:val="1"/>
      <w:numFmt w:val="chineseCounting"/>
      <w:suff w:val="nothing"/>
      <w:lvlText w:val="（%1）"/>
      <w:lvlJc w:val="left"/>
      <w:rPr>
        <w:rFonts w:ascii="楷体" w:hAnsi="楷体" w:eastAsia="楷体"/>
        <w:b w:val="0"/>
      </w:rPr>
    </w:lvl>
  </w:abstractNum>
  <w:abstractNum w:abstractNumId="1">
    <w:nsid w:val="7754BFFC"/>
    <w:multiLevelType w:val="singleLevel"/>
    <w:tmpl w:val="7754BFFC"/>
    <w:lvl w:ilvl="0" w:tentative="0">
      <w:start w:val="2"/>
      <w:numFmt w:val="decimal"/>
      <w:lvlText w:val="%1."/>
      <w:lvlJc w:val="left"/>
      <w:pPr>
        <w:tabs>
          <w:tab w:val="left" w:pos="312"/>
        </w:tabs>
      </w:pPr>
    </w:lvl>
  </w:abstractNum>
  <w:abstractNum w:abstractNumId="2">
    <w:nsid w:val="79FC5B1B"/>
    <w:multiLevelType w:val="singleLevel"/>
    <w:tmpl w:val="79FC5B1B"/>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EB97A43"/>
    <w:rsid w:val="0EBD2122"/>
    <w:rsid w:val="11B71E6A"/>
    <w:rsid w:val="137730E8"/>
    <w:rsid w:val="15BD55B6"/>
    <w:rsid w:val="1AAF0063"/>
    <w:rsid w:val="1BE140DE"/>
    <w:rsid w:val="248C197D"/>
    <w:rsid w:val="2526520C"/>
    <w:rsid w:val="252959AF"/>
    <w:rsid w:val="277A6671"/>
    <w:rsid w:val="292D35B7"/>
    <w:rsid w:val="2C1731FD"/>
    <w:rsid w:val="33EB6CFF"/>
    <w:rsid w:val="3863556E"/>
    <w:rsid w:val="3AC736E1"/>
    <w:rsid w:val="3B625C0A"/>
    <w:rsid w:val="3CEE1963"/>
    <w:rsid w:val="472B316C"/>
    <w:rsid w:val="482E2390"/>
    <w:rsid w:val="4BFB79C3"/>
    <w:rsid w:val="512260B4"/>
    <w:rsid w:val="593F5AE4"/>
    <w:rsid w:val="597244E8"/>
    <w:rsid w:val="5A700F4D"/>
    <w:rsid w:val="5D3F3A9A"/>
    <w:rsid w:val="5DA62BB3"/>
    <w:rsid w:val="66AF0CE5"/>
    <w:rsid w:val="68025E5D"/>
    <w:rsid w:val="6E5B14A6"/>
    <w:rsid w:val="74D70F8C"/>
    <w:rsid w:val="777F273F"/>
    <w:rsid w:val="7BB51E06"/>
    <w:rsid w:val="7C387F7C"/>
    <w:rsid w:val="7D856886"/>
    <w:rsid w:val="7E0009A0"/>
    <w:rsid w:val="7E4F5149"/>
    <w:rsid w:val="C27F3A71"/>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996</Words>
  <Characters>1017</Characters>
  <Lines>7</Lines>
  <Paragraphs>2</Paragraphs>
  <TotalTime>13</TotalTime>
  <ScaleCrop>false</ScaleCrop>
  <LinksUpToDate>false</LinksUpToDate>
  <CharactersWithSpaces>1025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2020-02-04T11:46:00Z</dcterms:created>
  <dc:creator>欣欣大人</dc:creator>
  <cp:lastModifiedBy>Administrator</cp:lastModifiedBy>
  <cp:lastPrinted>2024-03-06T15:38:00Z</cp:lastPrinted>
  <dcterms:modified xsi:type="dcterms:W3CDTF">2025-03-31T07:55:48Z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eyJoZGlkIjoiMDRiNGJkYjBiMjRiNTM2Zjk5YWM2NmU3YTc2OThjMTYiLCJ1c2VySWQiOiIxMDI2NzA5MTgxIn0=</vt:lpwstr>
  </property>
</Properties>
</file>